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</w:rPr>
        <w:t>广东省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eastAsia="zh-CN"/>
        </w:rPr>
        <w:t>高级卫生专业技术资格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</w:rPr>
        <w:t>考试专业设置一览表</w:t>
      </w:r>
    </w:p>
    <w:p>
      <w:pPr>
        <w:pStyle w:val="2"/>
        <w:rPr>
          <w:rFonts w:hint="default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827"/>
        <w:gridCol w:w="681"/>
        <w:gridCol w:w="2190"/>
        <w:gridCol w:w="660"/>
        <w:gridCol w:w="2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考试专业名称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考试专业名称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耳鼻喉(头颈外科)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皮肤与性病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传染性疾病控制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慢性非传染性疾病控制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肿瘤外科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寄生虫病控制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放射肿瘤治疗学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健康教育与健康促进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卫生毒理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临床医学检验临床基础检验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老年医学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介入治疗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临床营养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中医妇科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中医眼科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胸心外科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中医耳鼻喉科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中医皮肤科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中医肛肠科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推拿科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全科医学（中医类）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中医肿瘤学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理化检验技术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中西医结合内科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病媒生物控制技术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计划生育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中西医结合外科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病案信息技术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中西医结合妇科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中西医结合儿科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口腔修复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环境卫生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口腔正畸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营养与食品卫生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脑电图技术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学校卫生与儿少卫生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心理治疗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3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2025-02-11T03:24:21Z</dcterms:created>
  <dc:creator>admin</dc:creator>
  <cp:lastModifiedBy>LINNN000</cp:lastModifiedBy>
  <dcterms:modified xsi:type="dcterms:W3CDTF">2025-02-11T03:24:40Z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